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707F" w14:textId="77777777" w:rsidR="00E606C2" w:rsidRDefault="00E606C2" w:rsidP="00E606C2">
      <w:pPr>
        <w:pStyle w:val="1"/>
        <w:spacing w:before="240" w:line="240" w:lineRule="auto"/>
        <w:jc w:val="center"/>
        <w:rPr>
          <w:rFonts w:ascii="Times New Roman" w:hAnsi="Times New Roman"/>
          <w:b/>
          <w:color w:val="auto"/>
          <w:sz w:val="24"/>
          <w:szCs w:val="24"/>
        </w:rPr>
      </w:pPr>
      <w:r>
        <w:rPr>
          <w:rFonts w:ascii="Times New Roman" w:hAnsi="Times New Roman"/>
          <w:b/>
          <w:color w:val="auto"/>
          <w:sz w:val="24"/>
          <w:szCs w:val="24"/>
        </w:rPr>
        <w:t>КОЛОНОСКОПІЯ</w:t>
      </w:r>
      <w:r>
        <w:rPr>
          <w:rFonts w:ascii="Times New Roman" w:hAnsi="Times New Roman"/>
          <w:b/>
          <w:color w:val="0070C0"/>
          <w:sz w:val="24"/>
          <w:szCs w:val="24"/>
        </w:rPr>
        <w:t xml:space="preserve"> </w:t>
      </w:r>
    </w:p>
    <w:p w14:paraId="53F2A11C" w14:textId="77777777" w:rsidR="00E606C2" w:rsidRDefault="00E606C2" w:rsidP="00E606C2">
      <w:pPr>
        <w:keepLines/>
        <w:spacing w:before="240"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14:paraId="1E1B9B72" w14:textId="5D4CBA14"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w:t>
      </w:r>
      <w:r w:rsidR="00EC05D2">
        <w:rPr>
          <w:rFonts w:ascii="Times New Roman" w:hAnsi="Times New Roman"/>
          <w:sz w:val="24"/>
          <w:szCs w:val="24"/>
        </w:rPr>
        <w:t xml:space="preserve"> </w:t>
      </w:r>
      <w:r>
        <w:rPr>
          <w:rFonts w:ascii="Times New Roman" w:hAnsi="Times New Roman"/>
          <w:sz w:val="24"/>
          <w:szCs w:val="24"/>
        </w:rPr>
        <w:t>Консультація пацієнта/пацієнтки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14:paraId="242729F3" w14:textId="5F306CB7"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2.</w:t>
      </w:r>
      <w:r w:rsidR="00EC05D2">
        <w:rPr>
          <w:rFonts w:ascii="Times New Roman" w:hAnsi="Times New Roman"/>
          <w:sz w:val="24"/>
          <w:szCs w:val="24"/>
        </w:rPr>
        <w:t xml:space="preserve"> </w:t>
      </w:r>
      <w:r>
        <w:rPr>
          <w:rFonts w:ascii="Times New Roman" w:hAnsi="Times New Roman"/>
          <w:sz w:val="24"/>
          <w:szCs w:val="24"/>
        </w:rPr>
        <w:t>Консультація пацієнта/пацієнтки лікарем-анестезіологом перед анестезіологічним забезпеченням з метою виявлення протипоказань або інших важливих аспектів щодо гарантування безпеки пацієнта/пацієнтки.</w:t>
      </w:r>
    </w:p>
    <w:p w14:paraId="0D811856" w14:textId="3B78E242"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3.</w:t>
      </w:r>
      <w:r w:rsidR="00EC05D2">
        <w:rPr>
          <w:rFonts w:ascii="Times New Roman" w:hAnsi="Times New Roman"/>
          <w:sz w:val="24"/>
          <w:szCs w:val="24"/>
        </w:rPr>
        <w:t xml:space="preserve">    </w:t>
      </w:r>
      <w:r>
        <w:rPr>
          <w:rFonts w:ascii="Times New Roman" w:hAnsi="Times New Roman"/>
          <w:sz w:val="24"/>
          <w:szCs w:val="24"/>
        </w:rPr>
        <w:t xml:space="preserve">Діагностична </w:t>
      </w:r>
      <w:proofErr w:type="spellStart"/>
      <w:r>
        <w:rPr>
          <w:rFonts w:ascii="Times New Roman" w:hAnsi="Times New Roman"/>
          <w:sz w:val="24"/>
          <w:szCs w:val="24"/>
        </w:rPr>
        <w:t>колоноскопія</w:t>
      </w:r>
      <w:proofErr w:type="spellEnd"/>
      <w:r>
        <w:rPr>
          <w:rFonts w:ascii="Times New Roman" w:hAnsi="Times New Roman"/>
          <w:sz w:val="24"/>
          <w:szCs w:val="24"/>
        </w:rPr>
        <w:t xml:space="preserve"> для візуального огляду товстої кишки і термінального відділу тонкої кишки (при технічній можливості) без проведення ендоскопічних маніпуляцій </w:t>
      </w:r>
      <w:r>
        <w:rPr>
          <w:rFonts w:ascii="Times New Roman" w:hAnsi="Times New Roman"/>
          <w:b/>
          <w:sz w:val="24"/>
          <w:szCs w:val="24"/>
        </w:rPr>
        <w:t>один раз на два роки, пацієнтам із групи ризику - щороку</w:t>
      </w:r>
      <w:r>
        <w:rPr>
          <w:rFonts w:ascii="Times New Roman" w:hAnsi="Times New Roman"/>
          <w:sz w:val="24"/>
          <w:szCs w:val="24"/>
        </w:rPr>
        <w:t>.</w:t>
      </w:r>
    </w:p>
    <w:p w14:paraId="2C8F528A" w14:textId="6BF6134B"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Колоноскопія</w:t>
      </w:r>
      <w:proofErr w:type="spellEnd"/>
      <w:r>
        <w:rPr>
          <w:rFonts w:ascii="Times New Roman" w:hAnsi="Times New Roman"/>
          <w:sz w:val="24"/>
          <w:szCs w:val="24"/>
        </w:rPr>
        <w:t xml:space="preserve"> для візуального огляду товстої кишки і термінального відділу тонкої кишки (при технічній можливості) з ендоскопічною маніпуляцією (зокрема, взяттям матеріалу для гістологічного дослідження) та/або ендоскопічною операцією.</w:t>
      </w:r>
    </w:p>
    <w:p w14:paraId="115E53EC" w14:textId="141464FC"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5.</w:t>
      </w:r>
      <w:r w:rsidR="00EC05D2">
        <w:rPr>
          <w:rFonts w:ascii="Times New Roman" w:hAnsi="Times New Roman"/>
          <w:sz w:val="24"/>
          <w:szCs w:val="24"/>
        </w:rPr>
        <w:t xml:space="preserve"> </w:t>
      </w:r>
      <w:r>
        <w:rPr>
          <w:rFonts w:ascii="Times New Roman" w:hAnsi="Times New Roman"/>
          <w:sz w:val="24"/>
          <w:szCs w:val="24"/>
        </w:rPr>
        <w:t xml:space="preserve">Виконання </w:t>
      </w:r>
      <w:proofErr w:type="spellStart"/>
      <w:r>
        <w:rPr>
          <w:rFonts w:ascii="Times New Roman" w:hAnsi="Times New Roman"/>
          <w:sz w:val="24"/>
          <w:szCs w:val="24"/>
        </w:rPr>
        <w:t>хромоколоноскопії</w:t>
      </w:r>
      <w:proofErr w:type="spellEnd"/>
      <w:r>
        <w:rPr>
          <w:rFonts w:ascii="Times New Roman" w:hAnsi="Times New Roman"/>
          <w:sz w:val="24"/>
          <w:szCs w:val="24"/>
        </w:rPr>
        <w:t xml:space="preserve"> (розчином індигокарміну, оцтової кислоти тощо) та/або віртуальної </w:t>
      </w:r>
      <w:proofErr w:type="spellStart"/>
      <w:r>
        <w:rPr>
          <w:rFonts w:ascii="Times New Roman" w:hAnsi="Times New Roman"/>
          <w:sz w:val="24"/>
          <w:szCs w:val="24"/>
        </w:rPr>
        <w:t>хромоендоскопії</w:t>
      </w:r>
      <w:proofErr w:type="spellEnd"/>
      <w:r>
        <w:rPr>
          <w:rFonts w:ascii="Times New Roman" w:hAnsi="Times New Roman"/>
          <w:sz w:val="24"/>
          <w:szCs w:val="24"/>
        </w:rPr>
        <w:t xml:space="preserve"> за допомогою спеціалізованого програмного забезпечення, для діагностики поверхневих утворень і раннього раку.</w:t>
      </w:r>
    </w:p>
    <w:p w14:paraId="6AC64BC4" w14:textId="58DDB4BF"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6. Забезпечення місцевої або загальної анестезії.</w:t>
      </w:r>
    </w:p>
    <w:p w14:paraId="54557F89" w14:textId="0BB22E4F"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7. Забір та направлення біологічного матеріалу, взятого під час проведення процедури, для проведення гістологічного дослідження.</w:t>
      </w:r>
    </w:p>
    <w:p w14:paraId="6F0A82CF" w14:textId="49AA8DA1"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8.</w:t>
      </w:r>
      <w:r w:rsidR="00EC05D2">
        <w:rPr>
          <w:rFonts w:ascii="Times New Roman" w:hAnsi="Times New Roman"/>
          <w:sz w:val="24"/>
          <w:szCs w:val="24"/>
        </w:rPr>
        <w:t xml:space="preserve"> </w:t>
      </w:r>
      <w:r>
        <w:rPr>
          <w:rFonts w:ascii="Times New Roman" w:hAnsi="Times New Roman"/>
          <w:sz w:val="24"/>
          <w:szCs w:val="24"/>
        </w:rPr>
        <w:t>Оформлення заключення та протоколу ендоскопічного втручання одразу після його проведення у повному обсязі з використанням стандартної термінології та класифікацій.</w:t>
      </w:r>
    </w:p>
    <w:p w14:paraId="01492974" w14:textId="45301162"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9.</w:t>
      </w:r>
      <w:r w:rsidR="00EC05D2">
        <w:rPr>
          <w:rFonts w:ascii="Times New Roman" w:hAnsi="Times New Roman"/>
          <w:sz w:val="24"/>
          <w:szCs w:val="24"/>
        </w:rPr>
        <w:t xml:space="preserve"> </w:t>
      </w:r>
      <w:r>
        <w:rPr>
          <w:rFonts w:ascii="Times New Roman" w:hAnsi="Times New Roman"/>
          <w:sz w:val="24"/>
          <w:szCs w:val="24"/>
        </w:rPr>
        <w:t>Надання невідкладної медичної допомоги пацієнту/пацієнтці, а також виклик бригади екстреної (швидкої) медичної допомоги за потреби та надання невідкладної медичної допомоги до її прибуття.</w:t>
      </w:r>
    </w:p>
    <w:p w14:paraId="6EC7EA21" w14:textId="57F79612"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10.</w:t>
      </w:r>
      <w:r w:rsidR="00EC05D2">
        <w:rPr>
          <w:rFonts w:ascii="Times New Roman" w:hAnsi="Times New Roman"/>
          <w:sz w:val="24"/>
          <w:szCs w:val="24"/>
        </w:rPr>
        <w:t xml:space="preserve"> </w:t>
      </w:r>
      <w:r>
        <w:rPr>
          <w:rFonts w:ascii="Times New Roman" w:hAnsi="Times New Roman"/>
          <w:sz w:val="24"/>
          <w:szCs w:val="24"/>
        </w:rPr>
        <w:t>Направлення пацієнта/пацієнтки для отримання спеціалізованої медичної допомоги, інших медичних послуг.</w:t>
      </w:r>
    </w:p>
    <w:p w14:paraId="066DED87" w14:textId="58F7B5D9"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11.</w:t>
      </w:r>
      <w:r w:rsidR="00EC05D2">
        <w:rPr>
          <w:rFonts w:ascii="Times New Roman" w:hAnsi="Times New Roman"/>
          <w:sz w:val="24"/>
          <w:szCs w:val="24"/>
        </w:rPr>
        <w:t xml:space="preserve"> </w:t>
      </w:r>
      <w:r>
        <w:rPr>
          <w:rFonts w:ascii="Times New Roman" w:hAnsi="Times New Roman"/>
          <w:sz w:val="24"/>
          <w:szCs w:val="24"/>
        </w:rPr>
        <w:t>Запис результатів обстеження (фото/</w:t>
      </w:r>
      <w:proofErr w:type="spellStart"/>
      <w:r>
        <w:rPr>
          <w:rFonts w:ascii="Times New Roman" w:hAnsi="Times New Roman"/>
          <w:sz w:val="24"/>
          <w:szCs w:val="24"/>
        </w:rPr>
        <w:t>відеофіксація</w:t>
      </w:r>
      <w:proofErr w:type="spellEnd"/>
      <w:r>
        <w:rPr>
          <w:rFonts w:ascii="Times New Roman" w:hAnsi="Times New Roman"/>
          <w:sz w:val="24"/>
          <w:szCs w:val="24"/>
        </w:rPr>
        <w:t>) на цифровий носій пацієнта/пацієнтки (за бажанням).</w:t>
      </w:r>
    </w:p>
    <w:p w14:paraId="423E0486"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14:paraId="60405029" w14:textId="77777777" w:rsidR="00E606C2" w:rsidRDefault="00E606C2" w:rsidP="00E606C2">
      <w:pPr>
        <w:keepLines/>
        <w:spacing w:before="240" w:after="0" w:line="240" w:lineRule="auto"/>
        <w:jc w:val="center"/>
        <w:rPr>
          <w:rFonts w:ascii="Times New Roman" w:hAnsi="Times New Roman"/>
          <w:b/>
          <w:sz w:val="24"/>
          <w:szCs w:val="24"/>
        </w:rPr>
      </w:pPr>
      <w:r>
        <w:rPr>
          <w:rFonts w:ascii="Times New Roman" w:hAnsi="Times New Roman"/>
          <w:b/>
          <w:sz w:val="24"/>
          <w:szCs w:val="24"/>
        </w:rPr>
        <w:t>КОЛОНОСКОПІЯ</w:t>
      </w:r>
    </w:p>
    <w:p w14:paraId="1E5019AD" w14:textId="77777777" w:rsidR="00E606C2" w:rsidRDefault="00E606C2" w:rsidP="00E606C2">
      <w:pPr>
        <w:keepLines/>
        <w:spacing w:before="240"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14:paraId="01F5C117"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i/>
          <w:sz w:val="24"/>
          <w:szCs w:val="24"/>
        </w:rPr>
        <w:t xml:space="preserve">Умови надання послуги: </w:t>
      </w:r>
      <w:r>
        <w:rPr>
          <w:rFonts w:ascii="Times New Roman" w:hAnsi="Times New Roman"/>
          <w:sz w:val="24"/>
          <w:szCs w:val="24"/>
        </w:rPr>
        <w:t>амбулаторно</w:t>
      </w:r>
    </w:p>
    <w:p w14:paraId="4BFD4E85" w14:textId="77777777"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i/>
          <w:sz w:val="24"/>
          <w:szCs w:val="24"/>
        </w:rPr>
        <w:t>Підстави надання послуги:</w:t>
      </w:r>
    </w:p>
    <w:p w14:paraId="4FBA22E1" w14:textId="3F059BE4" w:rsidR="00E606C2" w:rsidRDefault="00E606C2" w:rsidP="00E606C2">
      <w:pPr>
        <w:keepLines/>
        <w:spacing w:before="240" w:after="0" w:line="240" w:lineRule="auto"/>
        <w:jc w:val="both"/>
        <w:rPr>
          <w:rFonts w:ascii="Times New Roman" w:hAnsi="Times New Roman"/>
          <w:b/>
          <w:sz w:val="24"/>
          <w:szCs w:val="24"/>
        </w:rPr>
      </w:pPr>
      <w:r>
        <w:rPr>
          <w:rFonts w:ascii="Times New Roman" w:hAnsi="Times New Roman"/>
          <w:sz w:val="24"/>
          <w:szCs w:val="24"/>
        </w:rPr>
        <w:t xml:space="preserve">● направлення лікаря з надання ПМД, якого обрано за декларацією про вибір лікаря або направлення лікуючого лікаря-спеціаліста та вік пацієнта/пацієнтки – </w:t>
      </w:r>
      <w:r>
        <w:rPr>
          <w:rFonts w:ascii="Times New Roman" w:hAnsi="Times New Roman"/>
          <w:b/>
          <w:sz w:val="24"/>
          <w:szCs w:val="24"/>
        </w:rPr>
        <w:t>від 45 років і старше або належність пацієнта/пацієнтки до групи ризику.</w:t>
      </w:r>
    </w:p>
    <w:p w14:paraId="32D8E50F" w14:textId="77777777"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i/>
          <w:sz w:val="24"/>
          <w:szCs w:val="24"/>
        </w:rPr>
        <w:t>Вимоги до організації надання допомоги:</w:t>
      </w:r>
    </w:p>
    <w:p w14:paraId="45D849B0"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Забезпечення фотофіксації  (щонайменше 11 знімків, що зберігаються в медичній документації) та/або повної </w:t>
      </w:r>
      <w:proofErr w:type="spellStart"/>
      <w:r>
        <w:rPr>
          <w:rFonts w:ascii="Times New Roman" w:hAnsi="Times New Roman"/>
          <w:sz w:val="24"/>
          <w:szCs w:val="24"/>
          <w:highlight w:val="white"/>
        </w:rPr>
        <w:t>відеофіксації</w:t>
      </w:r>
      <w:proofErr w:type="spellEnd"/>
      <w:r>
        <w:rPr>
          <w:rFonts w:ascii="Times New Roman" w:hAnsi="Times New Roman"/>
          <w:sz w:val="24"/>
          <w:szCs w:val="24"/>
          <w:highlight w:val="white"/>
        </w:rPr>
        <w:t xml:space="preserve"> всього дослідження зі зберіганням цифрових фото/відеоматеріалів протягом 2 років  з фіксуванням:</w:t>
      </w:r>
    </w:p>
    <w:p w14:paraId="158FCB98" w14:textId="3B88A332"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a. нижньої частини </w:t>
      </w:r>
      <w:proofErr w:type="spellStart"/>
      <w:r>
        <w:rPr>
          <w:rFonts w:ascii="Times New Roman" w:hAnsi="Times New Roman"/>
          <w:sz w:val="24"/>
          <w:szCs w:val="24"/>
        </w:rPr>
        <w:t>rectum</w:t>
      </w:r>
      <w:proofErr w:type="spellEnd"/>
      <w:r>
        <w:rPr>
          <w:rFonts w:ascii="Times New Roman" w:hAnsi="Times New Roman"/>
          <w:sz w:val="24"/>
          <w:szCs w:val="24"/>
        </w:rPr>
        <w:t xml:space="preserve"> на 2 </w:t>
      </w:r>
      <w:proofErr w:type="spellStart"/>
      <w:r>
        <w:rPr>
          <w:rFonts w:ascii="Times New Roman" w:hAnsi="Times New Roman"/>
          <w:sz w:val="24"/>
          <w:szCs w:val="24"/>
        </w:rPr>
        <w:t>cм</w:t>
      </w:r>
      <w:proofErr w:type="spellEnd"/>
      <w:r>
        <w:rPr>
          <w:rFonts w:ascii="Times New Roman" w:hAnsi="Times New Roman"/>
          <w:sz w:val="24"/>
          <w:szCs w:val="24"/>
        </w:rPr>
        <w:t xml:space="preserve"> вище від анального сфінктера;</w:t>
      </w:r>
    </w:p>
    <w:p w14:paraId="488233DA" w14:textId="3267C7CE"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b. середньої частини сигмоподібної кишки;</w:t>
      </w:r>
    </w:p>
    <w:p w14:paraId="460BFD6C" w14:textId="1DBCA3B1"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lastRenderedPageBreak/>
        <w:t>c. низхідної ободової кишки нижче селезінкового вигину;</w:t>
      </w:r>
    </w:p>
    <w:p w14:paraId="55060029" w14:textId="07449D98"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d. поперечно-ободової кишки після селезінкового вигину;</w:t>
      </w:r>
    </w:p>
    <w:p w14:paraId="6240FC42" w14:textId="3D421A91"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e. поперечно-ободової кишки перед печінковим вигином;</w:t>
      </w:r>
    </w:p>
    <w:p w14:paraId="721A683C" w14:textId="0DF0BBF9"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f. висхідної ободової кишки нижче печінкового вигину;</w:t>
      </w:r>
    </w:p>
    <w:p w14:paraId="7A1DB417" w14:textId="1BAE57AD"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g. термінального відділу тонкої кишки (при технічній можливості);</w:t>
      </w:r>
    </w:p>
    <w:p w14:paraId="6092BE94" w14:textId="12FB22EB"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h. </w:t>
      </w:r>
      <w:proofErr w:type="spellStart"/>
      <w:r>
        <w:rPr>
          <w:rFonts w:ascii="Times New Roman" w:hAnsi="Times New Roman"/>
          <w:sz w:val="24"/>
          <w:szCs w:val="24"/>
        </w:rPr>
        <w:t>ілеоцекального</w:t>
      </w:r>
      <w:proofErr w:type="spellEnd"/>
      <w:r>
        <w:rPr>
          <w:rFonts w:ascii="Times New Roman" w:hAnsi="Times New Roman"/>
          <w:sz w:val="24"/>
          <w:szCs w:val="24"/>
        </w:rPr>
        <w:t xml:space="preserve"> клапану;</w:t>
      </w:r>
    </w:p>
    <w:p w14:paraId="78A62714" w14:textId="4BDE73EA"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i. сліпої кишки, з візуалізацією отвору червоподібного відростка;</w:t>
      </w:r>
    </w:p>
    <w:p w14:paraId="19361903" w14:textId="597EBEEB"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j. огляду </w:t>
      </w:r>
      <w:proofErr w:type="spellStart"/>
      <w:r>
        <w:rPr>
          <w:rFonts w:ascii="Times New Roman" w:hAnsi="Times New Roman"/>
          <w:sz w:val="24"/>
          <w:szCs w:val="24"/>
        </w:rPr>
        <w:t>нижньоампулярного</w:t>
      </w:r>
      <w:proofErr w:type="spellEnd"/>
      <w:r>
        <w:rPr>
          <w:rFonts w:ascii="Times New Roman" w:hAnsi="Times New Roman"/>
          <w:sz w:val="24"/>
          <w:szCs w:val="24"/>
        </w:rPr>
        <w:t xml:space="preserve"> відділу прямої кишки в інверсії (при технічній можливості);</w:t>
      </w:r>
    </w:p>
    <w:p w14:paraId="4B6A4D8C" w14:textId="381F15AD"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k. локальних змін слизової оболонки та всіх утворень (поліпів, виразок, пухлин тощо).</w:t>
      </w:r>
    </w:p>
    <w:p w14:paraId="482DDC4F"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 xml:space="preserve">Забезпечення проведення гістологічного дослідження у закладі охорони здоров’я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w:t>
      </w:r>
    </w:p>
    <w:p w14:paraId="2269A47C"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Наявність кімнати/зони для спостереження за станом пацієнтів після ендоскопічного дослідження/втручання.</w:t>
      </w:r>
    </w:p>
    <w:p w14:paraId="49D7DE19"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b/>
          <w:sz w:val="24"/>
          <w:szCs w:val="24"/>
          <w:highlight w:val="white"/>
        </w:rPr>
        <w:t>Наявність окремого приміщення для проведення очищення, дезінфекції/стерилізації гнучких ендоскопів.</w:t>
      </w:r>
    </w:p>
    <w:p w14:paraId="79702FA2"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для своєчасного та ефективного надання допомоги пацієнтам.</w:t>
      </w:r>
    </w:p>
    <w:p w14:paraId="5FE04FC9"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b/>
          <w:sz w:val="24"/>
          <w:szCs w:val="24"/>
          <w:highlight w:val="white"/>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14:paraId="3B61CEA0"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b/>
          <w:sz w:val="24"/>
          <w:szCs w:val="24"/>
          <w:highlight w:val="white"/>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sz w:val="24"/>
          <w:szCs w:val="24"/>
          <w:highlight w:val="white"/>
        </w:rPr>
        <w:t>хвороб</w:t>
      </w:r>
      <w:proofErr w:type="spellEnd"/>
      <w:r>
        <w:rPr>
          <w:rFonts w:ascii="Times New Roman" w:hAnsi="Times New Roman"/>
          <w:b/>
          <w:sz w:val="24"/>
          <w:szCs w:val="24"/>
          <w:highlight w:val="white"/>
        </w:rPr>
        <w:t>.</w:t>
      </w:r>
    </w:p>
    <w:p w14:paraId="3240AC96"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14:paraId="7629D5DF"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14:paraId="3DFED4FB"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14:paraId="743D7C85" w14:textId="77777777"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14:paraId="75DEE443"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14:paraId="02E7D88D" w14:textId="77777777"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Вимоги до спеціалістів та кількості фахівців, які працюють на посадах:</w:t>
      </w:r>
    </w:p>
    <w:p w14:paraId="136B5698" w14:textId="1B8F61FF"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w:t>
      </w:r>
    </w:p>
    <w:p w14:paraId="17E5AFA2" w14:textId="77777777" w:rsidR="00E606C2" w:rsidRDefault="00E606C2" w:rsidP="00E606C2">
      <w:pPr>
        <w:keepLines/>
        <w:spacing w:after="0" w:line="240" w:lineRule="auto"/>
        <w:ind w:left="420"/>
        <w:jc w:val="both"/>
        <w:rPr>
          <w:rFonts w:ascii="Times New Roman" w:hAnsi="Times New Roman"/>
          <w:sz w:val="24"/>
          <w:szCs w:val="24"/>
        </w:rPr>
      </w:pPr>
      <w:r>
        <w:rPr>
          <w:rFonts w:ascii="Times New Roman" w:hAnsi="Times New Roman"/>
          <w:sz w:val="24"/>
          <w:szCs w:val="24"/>
        </w:rPr>
        <w:t>a.   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w:t>
      </w:r>
    </w:p>
    <w:p w14:paraId="618F9CFC" w14:textId="77777777" w:rsidR="00E606C2" w:rsidRDefault="00E606C2" w:rsidP="00E606C2">
      <w:pPr>
        <w:keepLines/>
        <w:spacing w:after="0" w:line="240" w:lineRule="auto"/>
        <w:ind w:left="420"/>
        <w:jc w:val="both"/>
        <w:rPr>
          <w:rFonts w:ascii="Times New Roman" w:hAnsi="Times New Roman"/>
          <w:sz w:val="24"/>
          <w:szCs w:val="24"/>
        </w:rPr>
      </w:pPr>
      <w:r>
        <w:rPr>
          <w:rFonts w:ascii="Times New Roman" w:hAnsi="Times New Roman"/>
          <w:sz w:val="24"/>
          <w:szCs w:val="24"/>
        </w:rPr>
        <w:t>b.   Сестра медична (брат медичний) – щонайменше одна особа, яка працює за основним місцем роботи у цьому ЗОЗ або за сумісництвом.</w:t>
      </w:r>
    </w:p>
    <w:p w14:paraId="5D866628"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lastRenderedPageBreak/>
        <w:t>2.  У ЗОЗ:</w:t>
      </w:r>
    </w:p>
    <w:p w14:paraId="0809FAFB" w14:textId="77777777" w:rsidR="00E606C2" w:rsidRDefault="00E606C2" w:rsidP="00E606C2">
      <w:pPr>
        <w:keepLines/>
        <w:spacing w:after="0" w:line="240" w:lineRule="auto"/>
        <w:ind w:left="420"/>
        <w:jc w:val="both"/>
        <w:rPr>
          <w:rFonts w:ascii="Times New Roman" w:hAnsi="Times New Roman"/>
          <w:sz w:val="24"/>
          <w:szCs w:val="24"/>
        </w:rPr>
      </w:pPr>
      <w:r>
        <w:rPr>
          <w:rFonts w:ascii="Times New Roman" w:hAnsi="Times New Roman"/>
          <w:sz w:val="24"/>
          <w:szCs w:val="24"/>
        </w:rPr>
        <w:t>a.   Лікар-анестезіолог – щонайменше одна особа, яка працює за основним місцем роботи у цьому ЗОЗ або за сумісництвом.</w:t>
      </w:r>
    </w:p>
    <w:p w14:paraId="01EE18A0"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14:paraId="26335066" w14:textId="77777777"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Вимоги до переліку обладнання:</w:t>
      </w:r>
    </w:p>
    <w:p w14:paraId="19A01B39" w14:textId="295FD558"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 (кабінет):</w:t>
      </w:r>
    </w:p>
    <w:p w14:paraId="2E410CBC" w14:textId="1D0BA8B1"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a.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або кисневий концентратор, що здатний підтримувати швидкість потоку кисню щонайменше 10 л/хв;</w:t>
      </w:r>
    </w:p>
    <w:p w14:paraId="10925686" w14:textId="07227590"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b. система ендоскопічної візуалізації з </w:t>
      </w:r>
      <w:proofErr w:type="spellStart"/>
      <w:r>
        <w:rPr>
          <w:rFonts w:ascii="Times New Roman" w:hAnsi="Times New Roman"/>
          <w:sz w:val="24"/>
          <w:szCs w:val="24"/>
        </w:rPr>
        <w:t>відеоколоноскопом</w:t>
      </w:r>
      <w:proofErr w:type="spellEnd"/>
      <w:r>
        <w:rPr>
          <w:rFonts w:ascii="Times New Roman" w:hAnsi="Times New Roman"/>
          <w:sz w:val="24"/>
          <w:szCs w:val="24"/>
        </w:rPr>
        <w:t>;</w:t>
      </w:r>
    </w:p>
    <w:p w14:paraId="590E1E6E" w14:textId="5393C66F"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c. аспіратор (відсмоктувач);</w:t>
      </w:r>
    </w:p>
    <w:p w14:paraId="0DB2544E" w14:textId="053168F2"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пульсоксиметр</w:t>
      </w:r>
      <w:proofErr w:type="spellEnd"/>
      <w:r>
        <w:rPr>
          <w:rFonts w:ascii="Times New Roman" w:hAnsi="Times New Roman"/>
          <w:sz w:val="24"/>
          <w:szCs w:val="24"/>
        </w:rPr>
        <w:t>;</w:t>
      </w:r>
    </w:p>
    <w:p w14:paraId="0D58EEDC" w14:textId="0B078B9E"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e.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14:paraId="27D01C14" w14:textId="6723656D"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f. термометр безконтактний;</w:t>
      </w:r>
    </w:p>
    <w:p w14:paraId="75D200E8" w14:textId="38C73E01"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g. тонометр;</w:t>
      </w:r>
    </w:p>
    <w:p w14:paraId="1479B5BA" w14:textId="7ACC3880"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h. аптечка для надання невідкладної допомоги.</w:t>
      </w:r>
    </w:p>
    <w:p w14:paraId="1C3D5459"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2. У ЗОЗ (за місцем розташування кабінету):</w:t>
      </w:r>
    </w:p>
    <w:p w14:paraId="77D9A183" w14:textId="17E1FB37"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a. портативний дефібрилятор з функцією синхронізації;</w:t>
      </w:r>
    </w:p>
    <w:p w14:paraId="73160DDB" w14:textId="6AB3BFC7"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b. автоматичний дозатор лікувальних речовин;</w:t>
      </w:r>
    </w:p>
    <w:p w14:paraId="301E80B9" w14:textId="6752F393"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c.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w:t>
      </w:r>
    </w:p>
    <w:p w14:paraId="1D3CFDEB" w14:textId="79D21D97"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d. ларингоскоп з набором клинків.</w:t>
      </w:r>
    </w:p>
    <w:p w14:paraId="47E5E980" w14:textId="77777777"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i/>
          <w:sz w:val="24"/>
          <w:szCs w:val="24"/>
        </w:rPr>
        <w:t>Інші вимоги:</w:t>
      </w:r>
    </w:p>
    <w:p w14:paraId="5A3BB821" w14:textId="756B6EF1"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w:t>
      </w:r>
      <w:r w:rsidR="00EC05D2">
        <w:rPr>
          <w:rFonts w:ascii="Times New Roman" w:hAnsi="Times New Roman"/>
          <w:sz w:val="24"/>
          <w:szCs w:val="24"/>
        </w:rPr>
        <w:t xml:space="preserve"> </w:t>
      </w:r>
      <w:r>
        <w:rPr>
          <w:rFonts w:ascii="Times New Roman" w:hAnsi="Times New Roman"/>
          <w:sz w:val="24"/>
          <w:szCs w:val="24"/>
        </w:rPr>
        <w:t>Наявність ліцензії на провадження господарської діяльності з медичної практики за спеціальністю ендоскопія, анестезіологія.</w:t>
      </w:r>
    </w:p>
    <w:p w14:paraId="4013A1A8" w14:textId="7035B709"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2.</w:t>
      </w:r>
      <w:r w:rsidR="00EC05D2">
        <w:rPr>
          <w:rFonts w:ascii="Times New Roman" w:hAnsi="Times New Roman"/>
          <w:sz w:val="24"/>
          <w:szCs w:val="24"/>
        </w:rPr>
        <w:t xml:space="preserve"> </w:t>
      </w:r>
      <w:r>
        <w:rPr>
          <w:rFonts w:ascii="Times New Roman" w:hAnsi="Times New Roman"/>
          <w:sz w:val="24"/>
          <w:szCs w:val="24"/>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14:paraId="4C2D7170" w14:textId="77777777"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14:paraId="0665B380" w14:textId="77777777" w:rsidR="00A94EFD" w:rsidRDefault="00A94EFD"/>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605E9"/>
    <w:multiLevelType w:val="hybridMultilevel"/>
    <w:tmpl w:val="411C57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65113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C2"/>
    <w:rsid w:val="008D5DC9"/>
    <w:rsid w:val="00A94EFD"/>
    <w:rsid w:val="00E606C2"/>
    <w:rsid w:val="00EC05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8377"/>
  <w15:chartTrackingRefBased/>
  <w15:docId w15:val="{6207B1A3-C643-4675-92E9-5AAF886A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6C2"/>
    <w:rPr>
      <w:rFonts w:ascii="Aptos" w:eastAsia="Times New Roman" w:hAnsi="Aptos" w:cs="Times New Roman"/>
      <w:lang w:eastAsia="uk-UA"/>
    </w:rPr>
  </w:style>
  <w:style w:type="paragraph" w:styleId="1">
    <w:name w:val="heading 1"/>
    <w:basedOn w:val="a"/>
    <w:next w:val="a"/>
    <w:link w:val="10"/>
    <w:uiPriority w:val="9"/>
    <w:qFormat/>
    <w:rsid w:val="00E606C2"/>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6C2"/>
    <w:rPr>
      <w:rFonts w:ascii="Aptos" w:eastAsia="Times New Roman" w:hAnsi="Aptos" w:cs="Times New Roman"/>
      <w:color w:val="2F5496" w:themeColor="accent1" w:themeShade="BF"/>
      <w:sz w:val="40"/>
      <w:szCs w:val="40"/>
      <w:lang w:eastAsia="uk-UA"/>
    </w:rPr>
  </w:style>
  <w:style w:type="paragraph" w:styleId="a3">
    <w:name w:val="List Paragraph"/>
    <w:basedOn w:val="a"/>
    <w:qFormat/>
    <w:rsid w:val="00E60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4300</Words>
  <Characters>2451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Олена Бенько</cp:lastModifiedBy>
  <cp:revision>2</cp:revision>
  <dcterms:created xsi:type="dcterms:W3CDTF">2024-05-21T09:06:00Z</dcterms:created>
  <dcterms:modified xsi:type="dcterms:W3CDTF">2025-08-06T11:52:00Z</dcterms:modified>
</cp:coreProperties>
</file>